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4" w:name="Xf95f5b70571ba8021d6ee24a1278b8507812738"/>
    <w:p>
      <w:pPr>
        <w:pStyle w:val="Heading2"/>
      </w:pPr>
      <w:r>
        <w:t xml:space="preserve">PRELIMINARY DATA: Current Delta Hydrologic Conditions</w:t>
      </w:r>
    </w:p>
    <w:p>
      <w:pPr>
        <w:pStyle w:val="FirstParagraph"/>
      </w:pPr>
      <w:r>
        <w:t xml:space="preserve">Last updated:</w:t>
      </w:r>
      <w:r>
        <w:t xml:space="preserve"> </w:t>
      </w:r>
      <w:r>
        <w:rPr>
          <w:i/>
          <w:iCs/>
        </w:rPr>
        <w:t xml:space="preserve">Monday, January 12, 2026 at 8 AM</w:t>
      </w:r>
    </w:p>
    <w:bookmarkStart w:id="20" w:name="operational-and-regulatory-conditions"/>
    <w:p>
      <w:pPr>
        <w:pStyle w:val="Heading3"/>
      </w:pPr>
      <w:r>
        <w:t xml:space="preserve">Operational and Regulatory Conditions</w:t>
      </w:r>
    </w:p>
    <w:p>
      <w:pPr>
        <w:pStyle w:val="FirstParagraph"/>
      </w:pPr>
      <w:r>
        <w:t xml:space="preserve">Entrainment management is the current controlling factor. See most recent weekly outlook for more information.</w:t>
      </w:r>
    </w:p>
    <w:bookmarkEnd w:id="20"/>
    <w:bookmarkStart w:id="26" w:name="current-conditions"/>
    <w:p>
      <w:pPr>
        <w:pStyle w:val="Heading3"/>
      </w:pPr>
      <w:r>
        <w:t xml:space="preserve">Current Conditions</w:t>
      </w:r>
    </w:p>
    <w:p>
      <w:pPr>
        <w:pStyle w:val="FirstParagraph"/>
      </w:pPr>
      <w:r>
        <w:t xml:space="preserve">Most recent inflow at Freeport in the Sacramento River and Vernalis in the San Joaquin River is 69,318 and 3,071 cfs respectively. Most recent 1-day, 5-day, and 14-day OMRI measurements were -4,900, -4,901,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4" w:name="fig-triggers"/>
          <w:p>
            <w:pPr>
              <w:pStyle w:val="Compact"/>
              <w:jc w:val="center"/>
            </w:pPr>
            <w:r>
              <w:drawing>
                <wp:inline>
                  <wp:extent cx="5334000" cy="4148666"/>
                  <wp:effectExtent b="0" l="0" r="0" t="0"/>
                  <wp:docPr descr="" title="" id="22" name="Picture"/>
                  <a:graphic>
                    <a:graphicData uri="http://schemas.openxmlformats.org/drawingml/2006/picture">
                      <pic:pic>
                        <pic:nvPicPr>
                          <pic:cNvPr descr="delta_hydro_files/figure-docx/fig-triggers-1.png" id="23" name="Picture"/>
                          <pic:cNvPicPr>
                            <a:picLocks noChangeArrowheads="1" noChangeAspect="1"/>
                          </pic:cNvPicPr>
                        </pic:nvPicPr>
                        <pic:blipFill>
                          <a:blip r:embed="rId21"/>
                          <a:stretch>
                            <a:fillRect/>
                          </a:stretch>
                        </pic:blipFill>
                        <pic:spPr bwMode="auto">
                          <a:xfrm>
                            <a:off x="0" y="0"/>
                            <a:ext cx="5334000" cy="4148666"/>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colors in the OMRI plot indicate different types of triggers (see Table 1). OMRI data calculated by SacPAS, Freeport (FPT) and Vernalis (VNS) flow data from CDEC, and CVP (TRP) and SWP (HRO) exports data from CDEC.</w:t>
            </w:r>
          </w:p>
          <w:bookmarkEnd w:id="24"/>
        </w:tc>
      </w:tr>
    </w:tbl>
    <w:tbl>
      <w:tblPr>
        <w:tblStyle w:val="Table"/>
        <w:tblW w:type="pct" w:w="5000"/>
        <w:tblLayout w:type="fixed"/>
        <w:tblLook w:firstRow="0" w:lastRow="0" w:firstColumn="0" w:lastColumn="0" w:noHBand="0" w:noVBand="0" w:val="0000"/>
      </w:tblPr>
      <w:tblGrid>
        <w:gridCol w:w="7920"/>
      </w:tblGrid>
      <w:tr>
        <w:tc>
          <w:tcPr/>
          <w:bookmarkStart w:id="25"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10/30/2025</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12/25/2025</w:t>
                  </w:r>
                </w:p>
              </w:tc>
              <w:tc>
                <w:tcPr/>
                <w:p>
                  <w:pPr>
                    <w:pStyle w:val="Compact"/>
                    <w:jc w:val="right"/>
                    <w:jc w:val="center"/>
                  </w:pPr>
                  <w:r>
                    <w:t xml:space="preserve">Ongoing</w:t>
                  </w:r>
                </w:p>
              </w:tc>
              <w:tc>
                <w:tcPr/>
                <w:p>
                  <w:pPr>
                    <w:pStyle w:val="Compact"/>
                    <w:jc w:val="right"/>
                    <w:jc w:val="center"/>
                  </w:pPr>
                  <w:r>
                    <w:t xml:space="preserve">Entrainment Management</w:t>
                  </w:r>
                </w:p>
              </w:tc>
            </w:tr>
          </w:tbl>
          <w:bookmarkEnd w:id="25"/>
          <w:p/>
        </w:tc>
      </w:tr>
    </w:tbl>
    <w:bookmarkEnd w:id="26"/>
    <w:bookmarkStart w:id="33" w:name="zone-of-influence"/>
    <w:p>
      <w:pPr>
        <w:pStyle w:val="Heading3"/>
      </w:pPr>
      <w:r>
        <w:t xml:space="preserve">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7">
        <w:r>
          <w:rPr>
            <w:rStyle w:val="Hyperlink"/>
          </w:rPr>
          <w:t xml:space="preserve">SacPAS</w:t>
        </w:r>
      </w:hyperlink>
      <w:r>
        <w:t xml:space="preserve">. Forecasted flows were queried from short range deterministic flows provided by the</w:t>
      </w:r>
      <w:r>
        <w:t xml:space="preserve"> </w:t>
      </w:r>
      <w:hyperlink r:id="rId28">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2" w:name="fig-zoi_graph"/>
          <w:p>
            <w:pPr>
              <w:pStyle w:val="Compact"/>
              <w:jc w:val="center"/>
            </w:pPr>
            <w:r>
              <w:drawing>
                <wp:inline>
                  <wp:extent cx="5334000" cy="2667000"/>
                  <wp:effectExtent b="0" l="0" r="0" t="0"/>
                  <wp:docPr descr="" title="" id="30" name="Picture"/>
                  <a:graphic>
                    <a:graphicData uri="http://schemas.openxmlformats.org/drawingml/2006/picture">
                      <pic:pic>
                        <pic:nvPicPr>
                          <pic:cNvPr descr="delta_hydro_files/figure-docx/fig-zoi_graph-1.png" id="31" name="Picture"/>
                          <pic:cNvPicPr>
                            <a:picLocks noChangeArrowheads="1" noChangeAspect="1"/>
                          </pic:cNvPicPr>
                        </pic:nvPicPr>
                        <pic:blipFill>
                          <a:blip r:embed="rId29"/>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2"/>
        </w:tc>
      </w:tr>
    </w:tbl>
    <w:bookmarkEnd w:id="33"/>
    <w:bookmarkEnd w:id="3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9" Target="media/rId29.png" /><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2026-01-12T16:02:14Z</dcterms:created>
  <dcterms:modified xsi:type="dcterms:W3CDTF">2026-01-12T16:02:14Z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